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F9623" w14:textId="77777777" w:rsidR="002373F8" w:rsidRDefault="002373F8" w:rsidP="002373F8">
      <w:pPr>
        <w:jc w:val="center"/>
        <w:rPr>
          <w:sz w:val="20"/>
          <w:szCs w:val="20"/>
        </w:rPr>
      </w:pPr>
      <w:r>
        <w:rPr>
          <w:rFonts w:ascii="Calibri" w:eastAsia="Calibri" w:hAnsi="Calibri" w:cs="Calibri"/>
          <w:b/>
          <w:bCs/>
          <w:sz w:val="24"/>
          <w:szCs w:val="24"/>
          <w:u w:val="single"/>
        </w:rPr>
        <w:t>TÜRK LİMANLARINDA GEMİDE BULUNAN AKARYAKIT MİKTARLARININ BEYANI</w:t>
      </w:r>
    </w:p>
    <w:p w14:paraId="431F83F9" w14:textId="77777777" w:rsidR="002373F8" w:rsidRDefault="002373F8" w:rsidP="002373F8">
      <w:pPr>
        <w:spacing w:line="249" w:lineRule="auto"/>
        <w:jc w:val="both"/>
        <w:rPr>
          <w:rFonts w:ascii="Calibri" w:eastAsia="Calibri" w:hAnsi="Calibri" w:cs="Calibri"/>
          <w:sz w:val="21"/>
          <w:szCs w:val="21"/>
        </w:rPr>
      </w:pPr>
    </w:p>
    <w:p w14:paraId="2B16B755" w14:textId="77777777" w:rsidR="002373F8" w:rsidRDefault="002373F8" w:rsidP="002373F8">
      <w:pPr>
        <w:spacing w:line="249" w:lineRule="auto"/>
        <w:jc w:val="both"/>
        <w:rPr>
          <w:rFonts w:ascii="Calibri" w:eastAsia="Calibri" w:hAnsi="Calibri" w:cs="Calibri"/>
          <w:sz w:val="21"/>
          <w:szCs w:val="21"/>
        </w:rPr>
      </w:pPr>
      <w:r>
        <w:rPr>
          <w:rFonts w:ascii="Calibri" w:eastAsia="Calibri" w:hAnsi="Calibri" w:cs="Calibri"/>
          <w:sz w:val="21"/>
          <w:szCs w:val="21"/>
        </w:rPr>
        <w:t xml:space="preserve">Karşılaştığımız dosyalar ve Türkiye çapında bulunan yerel ofislerimiz ile </w:t>
      </w:r>
      <w:proofErr w:type="spellStart"/>
      <w:r>
        <w:rPr>
          <w:rFonts w:ascii="Calibri" w:eastAsia="Calibri" w:hAnsi="Calibri" w:cs="Calibri"/>
          <w:sz w:val="21"/>
          <w:szCs w:val="21"/>
        </w:rPr>
        <w:t>sörveyörlerimizden</w:t>
      </w:r>
      <w:proofErr w:type="spellEnd"/>
      <w:r>
        <w:rPr>
          <w:rFonts w:ascii="Calibri" w:eastAsia="Calibri" w:hAnsi="Calibri" w:cs="Calibri"/>
          <w:sz w:val="21"/>
          <w:szCs w:val="21"/>
        </w:rPr>
        <w:t xml:space="preserve"> gelen bilgilere göre, son zamanlarda Gümrük Muhafaza Memurlarının rastgele bir şekilde ve bildirimde bulunmadan gemileri ziyaret ettiği anlaşılmıştır. </w:t>
      </w:r>
    </w:p>
    <w:p w14:paraId="2184037C" w14:textId="77777777" w:rsidR="002373F8" w:rsidRDefault="002373F8" w:rsidP="002373F8">
      <w:pPr>
        <w:spacing w:line="224" w:lineRule="exact"/>
        <w:jc w:val="both"/>
        <w:rPr>
          <w:rFonts w:ascii="Calibri" w:eastAsia="Calibri" w:hAnsi="Calibri" w:cs="Calibri"/>
          <w:sz w:val="21"/>
          <w:szCs w:val="21"/>
        </w:rPr>
      </w:pPr>
    </w:p>
    <w:p w14:paraId="60866A16" w14:textId="77777777" w:rsidR="002373F8" w:rsidRDefault="002373F8" w:rsidP="002373F8">
      <w:pPr>
        <w:spacing w:line="224" w:lineRule="exact"/>
        <w:jc w:val="both"/>
        <w:rPr>
          <w:rFonts w:ascii="Calibri" w:eastAsia="Calibri" w:hAnsi="Calibri" w:cs="Calibri"/>
          <w:sz w:val="21"/>
          <w:szCs w:val="21"/>
        </w:rPr>
      </w:pPr>
      <w:r>
        <w:rPr>
          <w:rFonts w:ascii="Calibri" w:eastAsia="Calibri" w:hAnsi="Calibri" w:cs="Calibri"/>
          <w:sz w:val="21"/>
          <w:szCs w:val="21"/>
        </w:rPr>
        <w:t>Bu ziyaretleri sırasında, Gümrük Muhafaza Memurları gemi üzerinde bulunan akaryakıt miktarlarını ölçmekte ve Kaptan / Baş Mühendisin varış öncesi evraklarında beyan ettiği akaryakıt miktarları ile gemi üzerinde bulunan akaryakıt arasında bir fark olup olmadığını kontrol etmektedirler.</w:t>
      </w:r>
    </w:p>
    <w:p w14:paraId="07E7F5D0" w14:textId="32E1CEC6" w:rsidR="002373F8" w:rsidRDefault="002373F8" w:rsidP="002373F8">
      <w:pPr>
        <w:pStyle w:val="NormalWeb"/>
        <w:jc w:val="both"/>
        <w:rPr>
          <w:rFonts w:ascii="Calibri" w:eastAsia="Calibri" w:hAnsi="Calibri" w:cs="Calibri"/>
          <w:sz w:val="21"/>
          <w:szCs w:val="21"/>
        </w:rPr>
      </w:pPr>
      <w:r>
        <w:rPr>
          <w:rFonts w:ascii="Calibri" w:eastAsia="Calibri" w:hAnsi="Calibri" w:cs="Calibri"/>
          <w:sz w:val="21"/>
          <w:szCs w:val="21"/>
        </w:rPr>
        <w:t xml:space="preserve">Gemide bulunan akaryakıt miktarı ile varış öncesi evraklarında beyan edilen akaryakıt miktarları arasında farklılık olması durumunda, bu fakın meydana geldiği geminin Kaptanı ve Baş Mühendisi hakkında, 5607 sayılı Kaçakçılıkla Mücadele </w:t>
      </w:r>
      <w:proofErr w:type="gramStart"/>
      <w:r>
        <w:rPr>
          <w:rFonts w:ascii="Calibri" w:eastAsia="Calibri" w:hAnsi="Calibri" w:cs="Calibri"/>
          <w:sz w:val="21"/>
          <w:szCs w:val="21"/>
        </w:rPr>
        <w:t>Kanunu’nun  (</w:t>
      </w:r>
      <w:proofErr w:type="gramEnd"/>
      <w:r>
        <w:rPr>
          <w:rFonts w:ascii="Calibri" w:eastAsia="Calibri" w:hAnsi="Calibri" w:cs="Calibri"/>
          <w:sz w:val="21"/>
          <w:szCs w:val="21"/>
        </w:rPr>
        <w:t>“Kanun”) 3. Maddesinin 1. Fıkrası uyarınca soruşturma başlatılmaktadır. Kanun’un 3. Maddesinin 1. Fıkrası şunu belirtmektedir; “</w:t>
      </w:r>
      <w:proofErr w:type="spellStart"/>
      <w:r w:rsidRPr="001C1DB3">
        <w:rPr>
          <w:rFonts w:ascii="Calibri" w:eastAsia="Calibri" w:hAnsi="Calibri" w:cs="Calibri"/>
          <w:sz w:val="21"/>
          <w:szCs w:val="21"/>
        </w:rPr>
        <w:t>Eşyayı</w:t>
      </w:r>
      <w:proofErr w:type="spellEnd"/>
      <w:r w:rsidRPr="001C1DB3">
        <w:rPr>
          <w:rFonts w:ascii="Calibri" w:eastAsia="Calibri" w:hAnsi="Calibri" w:cs="Calibri"/>
          <w:sz w:val="21"/>
          <w:szCs w:val="21"/>
        </w:rPr>
        <w:t xml:space="preserve">, </w:t>
      </w:r>
      <w:proofErr w:type="spellStart"/>
      <w:r w:rsidRPr="001C1DB3">
        <w:rPr>
          <w:rFonts w:ascii="Calibri" w:eastAsia="Calibri" w:hAnsi="Calibri" w:cs="Calibri"/>
          <w:sz w:val="21"/>
          <w:szCs w:val="21"/>
        </w:rPr>
        <w:t>gümrük</w:t>
      </w:r>
      <w:proofErr w:type="spellEnd"/>
      <w:r w:rsidRPr="001C1DB3">
        <w:rPr>
          <w:rFonts w:ascii="Calibri" w:eastAsia="Calibri" w:hAnsi="Calibri" w:cs="Calibri"/>
          <w:sz w:val="21"/>
          <w:szCs w:val="21"/>
        </w:rPr>
        <w:t xml:space="preserve"> </w:t>
      </w:r>
      <w:proofErr w:type="spellStart"/>
      <w:r w:rsidRPr="001C1DB3">
        <w:rPr>
          <w:rFonts w:ascii="Calibri" w:eastAsia="Calibri" w:hAnsi="Calibri" w:cs="Calibri"/>
          <w:sz w:val="21"/>
          <w:szCs w:val="21"/>
        </w:rPr>
        <w:t>işlemlerine</w:t>
      </w:r>
      <w:proofErr w:type="spellEnd"/>
      <w:r w:rsidRPr="001C1DB3">
        <w:rPr>
          <w:rFonts w:ascii="Calibri" w:eastAsia="Calibri" w:hAnsi="Calibri" w:cs="Calibri"/>
          <w:sz w:val="21"/>
          <w:szCs w:val="21"/>
        </w:rPr>
        <w:t xml:space="preserve"> tabi tutmaksızın </w:t>
      </w:r>
      <w:proofErr w:type="spellStart"/>
      <w:r w:rsidRPr="001C1DB3">
        <w:rPr>
          <w:rFonts w:ascii="Calibri" w:eastAsia="Calibri" w:hAnsi="Calibri" w:cs="Calibri"/>
          <w:sz w:val="21"/>
          <w:szCs w:val="21"/>
        </w:rPr>
        <w:t>ülkeye</w:t>
      </w:r>
      <w:proofErr w:type="spellEnd"/>
      <w:r w:rsidRPr="001C1DB3">
        <w:rPr>
          <w:rFonts w:ascii="Calibri" w:eastAsia="Calibri" w:hAnsi="Calibri" w:cs="Calibri"/>
          <w:sz w:val="21"/>
          <w:szCs w:val="21"/>
        </w:rPr>
        <w:t xml:space="preserve"> sokan </w:t>
      </w:r>
      <w:proofErr w:type="spellStart"/>
      <w:r w:rsidRPr="001C1DB3">
        <w:rPr>
          <w:rFonts w:ascii="Calibri" w:eastAsia="Calibri" w:hAnsi="Calibri" w:cs="Calibri"/>
          <w:sz w:val="21"/>
          <w:szCs w:val="21"/>
        </w:rPr>
        <w:t>kişi</w:t>
      </w:r>
      <w:proofErr w:type="spellEnd"/>
      <w:r w:rsidRPr="001C1DB3">
        <w:rPr>
          <w:rFonts w:ascii="Calibri" w:eastAsia="Calibri" w:hAnsi="Calibri" w:cs="Calibri"/>
          <w:sz w:val="21"/>
          <w:szCs w:val="21"/>
        </w:rPr>
        <w:t xml:space="preserve">, bir yıldan </w:t>
      </w:r>
      <w:proofErr w:type="spellStart"/>
      <w:r w:rsidRPr="001C1DB3">
        <w:rPr>
          <w:rFonts w:ascii="Calibri" w:eastAsia="Calibri" w:hAnsi="Calibri" w:cs="Calibri"/>
          <w:sz w:val="21"/>
          <w:szCs w:val="21"/>
        </w:rPr>
        <w:t>bes</w:t>
      </w:r>
      <w:proofErr w:type="spellEnd"/>
      <w:r w:rsidRPr="001C1DB3">
        <w:rPr>
          <w:rFonts w:ascii="Calibri" w:eastAsia="Calibri" w:hAnsi="Calibri" w:cs="Calibri"/>
          <w:sz w:val="21"/>
          <w:szCs w:val="21"/>
        </w:rPr>
        <w:t xml:space="preserve">̧ yıla kadar hapis ve on bin </w:t>
      </w:r>
      <w:proofErr w:type="spellStart"/>
      <w:r w:rsidRPr="001C1DB3">
        <w:rPr>
          <w:rFonts w:ascii="Calibri" w:eastAsia="Calibri" w:hAnsi="Calibri" w:cs="Calibri"/>
          <w:sz w:val="21"/>
          <w:szCs w:val="21"/>
        </w:rPr>
        <w:t>güne</w:t>
      </w:r>
      <w:proofErr w:type="spellEnd"/>
      <w:r w:rsidRPr="001C1DB3">
        <w:rPr>
          <w:rFonts w:ascii="Calibri" w:eastAsia="Calibri" w:hAnsi="Calibri" w:cs="Calibri"/>
          <w:sz w:val="21"/>
          <w:szCs w:val="21"/>
        </w:rPr>
        <w:t xml:space="preserve"> kadar adlî para cezası ile cezalandırılır. </w:t>
      </w:r>
      <w:proofErr w:type="spellStart"/>
      <w:r w:rsidRPr="001C1DB3">
        <w:rPr>
          <w:rFonts w:ascii="Calibri" w:eastAsia="Calibri" w:hAnsi="Calibri" w:cs="Calibri"/>
          <w:sz w:val="21"/>
          <w:szCs w:val="21"/>
        </w:rPr>
        <w:t>Eşyanın</w:t>
      </w:r>
      <w:proofErr w:type="spellEnd"/>
      <w:r w:rsidRPr="001C1DB3">
        <w:rPr>
          <w:rFonts w:ascii="Calibri" w:eastAsia="Calibri" w:hAnsi="Calibri" w:cs="Calibri"/>
          <w:sz w:val="21"/>
          <w:szCs w:val="21"/>
        </w:rPr>
        <w:t xml:space="preserve">, </w:t>
      </w:r>
      <w:proofErr w:type="spellStart"/>
      <w:r w:rsidRPr="001C1DB3">
        <w:rPr>
          <w:rFonts w:ascii="Calibri" w:eastAsia="Calibri" w:hAnsi="Calibri" w:cs="Calibri"/>
          <w:sz w:val="21"/>
          <w:szCs w:val="21"/>
        </w:rPr>
        <w:t>gümrük</w:t>
      </w:r>
      <w:proofErr w:type="spellEnd"/>
      <w:r w:rsidRPr="001C1DB3">
        <w:rPr>
          <w:rFonts w:ascii="Calibri" w:eastAsia="Calibri" w:hAnsi="Calibri" w:cs="Calibri"/>
          <w:sz w:val="21"/>
          <w:szCs w:val="21"/>
        </w:rPr>
        <w:t xml:space="preserve"> kapıları </w:t>
      </w:r>
      <w:proofErr w:type="spellStart"/>
      <w:r w:rsidRPr="001C1DB3">
        <w:rPr>
          <w:rFonts w:ascii="Calibri" w:eastAsia="Calibri" w:hAnsi="Calibri" w:cs="Calibri"/>
          <w:sz w:val="21"/>
          <w:szCs w:val="21"/>
        </w:rPr>
        <w:t>dışından</w:t>
      </w:r>
      <w:proofErr w:type="spellEnd"/>
      <w:r w:rsidRPr="001C1DB3">
        <w:rPr>
          <w:rFonts w:ascii="Calibri" w:eastAsia="Calibri" w:hAnsi="Calibri" w:cs="Calibri"/>
          <w:sz w:val="21"/>
          <w:szCs w:val="21"/>
        </w:rPr>
        <w:t xml:space="preserve"> </w:t>
      </w:r>
      <w:proofErr w:type="spellStart"/>
      <w:r w:rsidRPr="001C1DB3">
        <w:rPr>
          <w:rFonts w:ascii="Calibri" w:eastAsia="Calibri" w:hAnsi="Calibri" w:cs="Calibri"/>
          <w:sz w:val="21"/>
          <w:szCs w:val="21"/>
        </w:rPr>
        <w:t>ülkeye</w:t>
      </w:r>
      <w:proofErr w:type="spellEnd"/>
      <w:r w:rsidRPr="001C1DB3">
        <w:rPr>
          <w:rFonts w:ascii="Calibri" w:eastAsia="Calibri" w:hAnsi="Calibri" w:cs="Calibri"/>
          <w:sz w:val="21"/>
          <w:szCs w:val="21"/>
        </w:rPr>
        <w:t xml:space="preserve"> sokulması halinde, verilecek ceza </w:t>
      </w:r>
      <w:proofErr w:type="spellStart"/>
      <w:r w:rsidRPr="001C1DB3">
        <w:rPr>
          <w:rFonts w:ascii="Calibri" w:eastAsia="Calibri" w:hAnsi="Calibri" w:cs="Calibri"/>
          <w:sz w:val="21"/>
          <w:szCs w:val="21"/>
        </w:rPr>
        <w:t>üçte</w:t>
      </w:r>
      <w:proofErr w:type="spellEnd"/>
      <w:r w:rsidRPr="001C1DB3">
        <w:rPr>
          <w:rFonts w:ascii="Calibri" w:eastAsia="Calibri" w:hAnsi="Calibri" w:cs="Calibri"/>
          <w:sz w:val="21"/>
          <w:szCs w:val="21"/>
        </w:rPr>
        <w:t xml:space="preserve"> birinden yarısına kadar artırılır. “</w:t>
      </w:r>
      <w:r>
        <w:rPr>
          <w:rFonts w:ascii="Calibri" w:eastAsia="Calibri" w:hAnsi="Calibri" w:cs="Calibri"/>
          <w:sz w:val="21"/>
          <w:szCs w:val="21"/>
        </w:rPr>
        <w:t xml:space="preserve">. Bu halde, yargılama sonucu kişilere verilebilecek ceza aşağıdaki </w:t>
      </w:r>
      <w:proofErr w:type="gramStart"/>
      <w:r>
        <w:rPr>
          <w:rFonts w:ascii="Calibri" w:eastAsia="Calibri" w:hAnsi="Calibri" w:cs="Calibri"/>
          <w:sz w:val="21"/>
          <w:szCs w:val="21"/>
        </w:rPr>
        <w:t>gibidir:-</w:t>
      </w:r>
      <w:proofErr w:type="gramEnd"/>
    </w:p>
    <w:tbl>
      <w:tblPr>
        <w:tblStyle w:val="TabloKlavuzu"/>
        <w:tblW w:w="0" w:type="auto"/>
        <w:tblLook w:val="04A0" w:firstRow="1" w:lastRow="0" w:firstColumn="1" w:lastColumn="0" w:noHBand="0" w:noVBand="1"/>
      </w:tblPr>
      <w:tblGrid>
        <w:gridCol w:w="3018"/>
        <w:gridCol w:w="2982"/>
        <w:gridCol w:w="3062"/>
      </w:tblGrid>
      <w:tr w:rsidR="002373F8" w14:paraId="505EEBC2" w14:textId="77777777" w:rsidTr="000B079B">
        <w:tc>
          <w:tcPr>
            <w:tcW w:w="3173" w:type="dxa"/>
          </w:tcPr>
          <w:p w14:paraId="68CDD433" w14:textId="77777777" w:rsidR="002373F8" w:rsidRDefault="002373F8" w:rsidP="000B079B">
            <w:pPr>
              <w:pStyle w:val="NormalWeb"/>
              <w:jc w:val="both"/>
              <w:rPr>
                <w:rFonts w:ascii="Calibri" w:eastAsia="Calibri" w:hAnsi="Calibri" w:cs="Calibri"/>
                <w:sz w:val="21"/>
                <w:szCs w:val="21"/>
              </w:rPr>
            </w:pPr>
            <w:r>
              <w:rPr>
                <w:rFonts w:ascii="Calibri" w:eastAsia="Calibri" w:hAnsi="Calibri" w:cs="Calibri"/>
                <w:sz w:val="21"/>
                <w:szCs w:val="21"/>
              </w:rPr>
              <w:t>Suç</w:t>
            </w:r>
          </w:p>
        </w:tc>
        <w:tc>
          <w:tcPr>
            <w:tcW w:w="3173" w:type="dxa"/>
          </w:tcPr>
          <w:p w14:paraId="3B5285BD" w14:textId="77777777" w:rsidR="002373F8" w:rsidRDefault="002373F8" w:rsidP="000B079B">
            <w:pPr>
              <w:pStyle w:val="NormalWeb"/>
              <w:jc w:val="both"/>
              <w:rPr>
                <w:rFonts w:ascii="Calibri" w:eastAsia="Calibri" w:hAnsi="Calibri" w:cs="Calibri"/>
                <w:sz w:val="21"/>
                <w:szCs w:val="21"/>
              </w:rPr>
            </w:pPr>
            <w:r>
              <w:rPr>
                <w:rFonts w:ascii="Calibri" w:eastAsia="Calibri" w:hAnsi="Calibri" w:cs="Calibri"/>
                <w:sz w:val="21"/>
                <w:szCs w:val="21"/>
              </w:rPr>
              <w:t>Basit Hali</w:t>
            </w:r>
          </w:p>
        </w:tc>
        <w:tc>
          <w:tcPr>
            <w:tcW w:w="3174" w:type="dxa"/>
          </w:tcPr>
          <w:p w14:paraId="67E17C00" w14:textId="77777777" w:rsidR="002373F8" w:rsidRDefault="002373F8" w:rsidP="000B079B">
            <w:pPr>
              <w:pStyle w:val="NormalWeb"/>
              <w:jc w:val="both"/>
              <w:rPr>
                <w:rFonts w:ascii="Calibri" w:eastAsia="Calibri" w:hAnsi="Calibri" w:cs="Calibri"/>
                <w:sz w:val="21"/>
                <w:szCs w:val="21"/>
              </w:rPr>
            </w:pPr>
            <w:r>
              <w:rPr>
                <w:rFonts w:ascii="Calibri" w:eastAsia="Calibri" w:hAnsi="Calibri" w:cs="Calibri"/>
                <w:sz w:val="21"/>
                <w:szCs w:val="21"/>
              </w:rPr>
              <w:t xml:space="preserve">Cezayı artıran haller </w:t>
            </w:r>
          </w:p>
        </w:tc>
      </w:tr>
      <w:tr w:rsidR="002373F8" w14:paraId="57F07671" w14:textId="77777777" w:rsidTr="000B079B">
        <w:trPr>
          <w:trHeight w:val="4564"/>
        </w:trPr>
        <w:tc>
          <w:tcPr>
            <w:tcW w:w="3173" w:type="dxa"/>
          </w:tcPr>
          <w:p w14:paraId="6487508F" w14:textId="77777777" w:rsidR="002373F8" w:rsidRDefault="002373F8" w:rsidP="000B079B">
            <w:pPr>
              <w:pStyle w:val="NormalWeb"/>
              <w:jc w:val="both"/>
              <w:rPr>
                <w:rFonts w:ascii="Calibri" w:eastAsia="Calibri" w:hAnsi="Calibri" w:cs="Calibri"/>
                <w:sz w:val="21"/>
                <w:szCs w:val="21"/>
              </w:rPr>
            </w:pPr>
            <w:r>
              <w:rPr>
                <w:rFonts w:ascii="Calibri" w:eastAsia="Calibri" w:hAnsi="Calibri" w:cs="Calibri"/>
                <w:sz w:val="21"/>
                <w:szCs w:val="21"/>
              </w:rPr>
              <w:t>-</w:t>
            </w:r>
            <w:r w:rsidRPr="001C1DB3">
              <w:rPr>
                <w:rFonts w:ascii="Calibri" w:eastAsia="Calibri" w:hAnsi="Calibri" w:cs="Calibri"/>
                <w:sz w:val="21"/>
                <w:szCs w:val="21"/>
              </w:rPr>
              <w:t xml:space="preserve"> </w:t>
            </w:r>
            <w:proofErr w:type="spellStart"/>
            <w:r w:rsidRPr="001C1DB3">
              <w:rPr>
                <w:rFonts w:ascii="Calibri" w:eastAsia="Calibri" w:hAnsi="Calibri" w:cs="Calibri"/>
                <w:sz w:val="21"/>
                <w:szCs w:val="21"/>
              </w:rPr>
              <w:t>Eşyayı</w:t>
            </w:r>
            <w:proofErr w:type="spellEnd"/>
            <w:r w:rsidRPr="001C1DB3">
              <w:rPr>
                <w:rFonts w:ascii="Calibri" w:eastAsia="Calibri" w:hAnsi="Calibri" w:cs="Calibri"/>
                <w:sz w:val="21"/>
                <w:szCs w:val="21"/>
              </w:rPr>
              <w:t xml:space="preserve">, </w:t>
            </w:r>
            <w:proofErr w:type="spellStart"/>
            <w:r w:rsidRPr="001C1DB3">
              <w:rPr>
                <w:rFonts w:ascii="Calibri" w:eastAsia="Calibri" w:hAnsi="Calibri" w:cs="Calibri"/>
                <w:sz w:val="21"/>
                <w:szCs w:val="21"/>
              </w:rPr>
              <w:t>gümrük</w:t>
            </w:r>
            <w:proofErr w:type="spellEnd"/>
            <w:r w:rsidRPr="001C1DB3">
              <w:rPr>
                <w:rFonts w:ascii="Calibri" w:eastAsia="Calibri" w:hAnsi="Calibri" w:cs="Calibri"/>
                <w:sz w:val="21"/>
                <w:szCs w:val="21"/>
              </w:rPr>
              <w:t xml:space="preserve"> </w:t>
            </w:r>
            <w:proofErr w:type="spellStart"/>
            <w:r w:rsidRPr="001C1DB3">
              <w:rPr>
                <w:rFonts w:ascii="Calibri" w:eastAsia="Calibri" w:hAnsi="Calibri" w:cs="Calibri"/>
                <w:sz w:val="21"/>
                <w:szCs w:val="21"/>
              </w:rPr>
              <w:t>işlemlerine</w:t>
            </w:r>
            <w:proofErr w:type="spellEnd"/>
            <w:r w:rsidRPr="001C1DB3">
              <w:rPr>
                <w:rFonts w:ascii="Calibri" w:eastAsia="Calibri" w:hAnsi="Calibri" w:cs="Calibri"/>
                <w:sz w:val="21"/>
                <w:szCs w:val="21"/>
              </w:rPr>
              <w:t xml:space="preserve"> tabi tutmaksızın </w:t>
            </w:r>
            <w:proofErr w:type="spellStart"/>
            <w:r w:rsidRPr="001C1DB3">
              <w:rPr>
                <w:rFonts w:ascii="Calibri" w:eastAsia="Calibri" w:hAnsi="Calibri" w:cs="Calibri"/>
                <w:sz w:val="21"/>
                <w:szCs w:val="21"/>
              </w:rPr>
              <w:t>ülkeye</w:t>
            </w:r>
            <w:proofErr w:type="spellEnd"/>
            <w:r w:rsidRPr="001C1DB3">
              <w:rPr>
                <w:rFonts w:ascii="Calibri" w:eastAsia="Calibri" w:hAnsi="Calibri" w:cs="Calibri"/>
                <w:sz w:val="21"/>
                <w:szCs w:val="21"/>
              </w:rPr>
              <w:t xml:space="preserve"> sok</w:t>
            </w:r>
            <w:r>
              <w:rPr>
                <w:rFonts w:ascii="Calibri" w:eastAsia="Calibri" w:hAnsi="Calibri" w:cs="Calibri"/>
                <w:sz w:val="21"/>
                <w:szCs w:val="21"/>
              </w:rPr>
              <w:t>ma</w:t>
            </w:r>
          </w:p>
        </w:tc>
        <w:tc>
          <w:tcPr>
            <w:tcW w:w="3173" w:type="dxa"/>
          </w:tcPr>
          <w:p w14:paraId="362A6B0C" w14:textId="77777777" w:rsidR="002373F8" w:rsidRDefault="002373F8" w:rsidP="000B079B">
            <w:pPr>
              <w:pStyle w:val="NormalWeb"/>
              <w:jc w:val="both"/>
              <w:rPr>
                <w:rFonts w:ascii="Calibri" w:eastAsia="Calibri" w:hAnsi="Calibri" w:cs="Calibri"/>
                <w:sz w:val="21"/>
                <w:szCs w:val="21"/>
              </w:rPr>
            </w:pPr>
            <w:r>
              <w:rPr>
                <w:rFonts w:ascii="Calibri" w:eastAsia="Calibri" w:hAnsi="Calibri" w:cs="Calibri"/>
                <w:sz w:val="21"/>
                <w:szCs w:val="21"/>
              </w:rPr>
              <w:t>-</w:t>
            </w:r>
            <w:r w:rsidRPr="001C1DB3">
              <w:rPr>
                <w:rFonts w:ascii="Calibri" w:eastAsia="Calibri" w:hAnsi="Calibri" w:cs="Calibri"/>
                <w:sz w:val="21"/>
                <w:szCs w:val="21"/>
              </w:rPr>
              <w:t xml:space="preserve"> </w:t>
            </w:r>
            <w:r>
              <w:rPr>
                <w:rFonts w:ascii="Calibri" w:eastAsia="Calibri" w:hAnsi="Calibri" w:cs="Calibri"/>
                <w:sz w:val="21"/>
                <w:szCs w:val="21"/>
              </w:rPr>
              <w:t>B</w:t>
            </w:r>
            <w:r w:rsidRPr="001C1DB3">
              <w:rPr>
                <w:rFonts w:ascii="Calibri" w:eastAsia="Calibri" w:hAnsi="Calibri" w:cs="Calibri"/>
                <w:sz w:val="21"/>
                <w:szCs w:val="21"/>
              </w:rPr>
              <w:t xml:space="preserve">ir yıldan </w:t>
            </w:r>
            <w:proofErr w:type="spellStart"/>
            <w:r w:rsidRPr="001C1DB3">
              <w:rPr>
                <w:rFonts w:ascii="Calibri" w:eastAsia="Calibri" w:hAnsi="Calibri" w:cs="Calibri"/>
                <w:sz w:val="21"/>
                <w:szCs w:val="21"/>
              </w:rPr>
              <w:t>bes</w:t>
            </w:r>
            <w:proofErr w:type="spellEnd"/>
            <w:r w:rsidRPr="001C1DB3">
              <w:rPr>
                <w:rFonts w:ascii="Calibri" w:eastAsia="Calibri" w:hAnsi="Calibri" w:cs="Calibri"/>
                <w:sz w:val="21"/>
                <w:szCs w:val="21"/>
              </w:rPr>
              <w:t xml:space="preserve">̧ yıla kadar hapis ve on bin </w:t>
            </w:r>
            <w:proofErr w:type="spellStart"/>
            <w:r w:rsidRPr="001C1DB3">
              <w:rPr>
                <w:rFonts w:ascii="Calibri" w:eastAsia="Calibri" w:hAnsi="Calibri" w:cs="Calibri"/>
                <w:sz w:val="21"/>
                <w:szCs w:val="21"/>
              </w:rPr>
              <w:t>güne</w:t>
            </w:r>
            <w:proofErr w:type="spellEnd"/>
            <w:r w:rsidRPr="001C1DB3">
              <w:rPr>
                <w:rFonts w:ascii="Calibri" w:eastAsia="Calibri" w:hAnsi="Calibri" w:cs="Calibri"/>
                <w:sz w:val="21"/>
                <w:szCs w:val="21"/>
              </w:rPr>
              <w:t xml:space="preserve"> kadar adlî para cezası</w:t>
            </w:r>
          </w:p>
        </w:tc>
        <w:tc>
          <w:tcPr>
            <w:tcW w:w="3174" w:type="dxa"/>
          </w:tcPr>
          <w:p w14:paraId="145970D2" w14:textId="77777777" w:rsidR="002373F8" w:rsidRDefault="002373F8" w:rsidP="000B079B">
            <w:pPr>
              <w:pStyle w:val="NormalWeb"/>
              <w:jc w:val="both"/>
              <w:rPr>
                <w:rFonts w:ascii="Calibri" w:eastAsia="Calibri" w:hAnsi="Calibri" w:cs="Calibri"/>
                <w:sz w:val="21"/>
                <w:szCs w:val="21"/>
              </w:rPr>
            </w:pPr>
            <w:r>
              <w:rPr>
                <w:rFonts w:ascii="Calibri" w:eastAsia="Calibri" w:hAnsi="Calibri" w:cs="Calibri"/>
                <w:sz w:val="21"/>
                <w:szCs w:val="21"/>
              </w:rPr>
              <w:t xml:space="preserve">- </w:t>
            </w:r>
            <w:proofErr w:type="spellStart"/>
            <w:r w:rsidRPr="001C1DB3">
              <w:rPr>
                <w:rFonts w:ascii="Calibri" w:eastAsia="Calibri" w:hAnsi="Calibri" w:cs="Calibri"/>
                <w:sz w:val="21"/>
                <w:szCs w:val="21"/>
              </w:rPr>
              <w:t>Eşyanın</w:t>
            </w:r>
            <w:proofErr w:type="spellEnd"/>
            <w:r w:rsidRPr="001C1DB3">
              <w:rPr>
                <w:rFonts w:ascii="Calibri" w:eastAsia="Calibri" w:hAnsi="Calibri" w:cs="Calibri"/>
                <w:sz w:val="21"/>
                <w:szCs w:val="21"/>
              </w:rPr>
              <w:t xml:space="preserve">, </w:t>
            </w:r>
            <w:proofErr w:type="spellStart"/>
            <w:r w:rsidRPr="001C1DB3">
              <w:rPr>
                <w:rFonts w:ascii="Calibri" w:eastAsia="Calibri" w:hAnsi="Calibri" w:cs="Calibri"/>
                <w:sz w:val="21"/>
                <w:szCs w:val="21"/>
              </w:rPr>
              <w:t>gümrük</w:t>
            </w:r>
            <w:proofErr w:type="spellEnd"/>
            <w:r w:rsidRPr="001C1DB3">
              <w:rPr>
                <w:rFonts w:ascii="Calibri" w:eastAsia="Calibri" w:hAnsi="Calibri" w:cs="Calibri"/>
                <w:sz w:val="21"/>
                <w:szCs w:val="21"/>
              </w:rPr>
              <w:t xml:space="preserve"> kapıları </w:t>
            </w:r>
            <w:proofErr w:type="spellStart"/>
            <w:r w:rsidRPr="001C1DB3">
              <w:rPr>
                <w:rFonts w:ascii="Calibri" w:eastAsia="Calibri" w:hAnsi="Calibri" w:cs="Calibri"/>
                <w:sz w:val="21"/>
                <w:szCs w:val="21"/>
              </w:rPr>
              <w:t>dışından</w:t>
            </w:r>
            <w:proofErr w:type="spellEnd"/>
            <w:r w:rsidRPr="001C1DB3">
              <w:rPr>
                <w:rFonts w:ascii="Calibri" w:eastAsia="Calibri" w:hAnsi="Calibri" w:cs="Calibri"/>
                <w:sz w:val="21"/>
                <w:szCs w:val="21"/>
              </w:rPr>
              <w:t xml:space="preserve"> </w:t>
            </w:r>
            <w:proofErr w:type="spellStart"/>
            <w:r w:rsidRPr="001C1DB3">
              <w:rPr>
                <w:rFonts w:ascii="Calibri" w:eastAsia="Calibri" w:hAnsi="Calibri" w:cs="Calibri"/>
                <w:sz w:val="21"/>
                <w:szCs w:val="21"/>
              </w:rPr>
              <w:t>ülkeye</w:t>
            </w:r>
            <w:proofErr w:type="spellEnd"/>
            <w:r w:rsidRPr="001C1DB3">
              <w:rPr>
                <w:rFonts w:ascii="Calibri" w:eastAsia="Calibri" w:hAnsi="Calibri" w:cs="Calibri"/>
                <w:sz w:val="21"/>
                <w:szCs w:val="21"/>
              </w:rPr>
              <w:t xml:space="preserve"> sokulması halinde, verilecek ceza </w:t>
            </w:r>
            <w:proofErr w:type="spellStart"/>
            <w:r w:rsidRPr="001C1DB3">
              <w:rPr>
                <w:rFonts w:ascii="Calibri" w:eastAsia="Calibri" w:hAnsi="Calibri" w:cs="Calibri"/>
                <w:sz w:val="21"/>
                <w:szCs w:val="21"/>
              </w:rPr>
              <w:t>üçte</w:t>
            </w:r>
            <w:proofErr w:type="spellEnd"/>
            <w:r w:rsidRPr="001C1DB3">
              <w:rPr>
                <w:rFonts w:ascii="Calibri" w:eastAsia="Calibri" w:hAnsi="Calibri" w:cs="Calibri"/>
                <w:sz w:val="21"/>
                <w:szCs w:val="21"/>
              </w:rPr>
              <w:t xml:space="preserve"> birinden yarısına kadar artırılır</w:t>
            </w:r>
            <w:r>
              <w:rPr>
                <w:rFonts w:ascii="Calibri" w:eastAsia="Calibri" w:hAnsi="Calibri" w:cs="Calibri"/>
                <w:sz w:val="21"/>
                <w:szCs w:val="21"/>
              </w:rPr>
              <w:t>.</w:t>
            </w:r>
          </w:p>
          <w:p w14:paraId="4649EA60" w14:textId="77777777" w:rsidR="002373F8" w:rsidRDefault="002373F8" w:rsidP="000B079B">
            <w:pPr>
              <w:pStyle w:val="NormalWeb"/>
              <w:jc w:val="both"/>
              <w:rPr>
                <w:rFonts w:ascii="Calibri" w:eastAsia="Calibri" w:hAnsi="Calibri" w:cs="Calibri"/>
                <w:sz w:val="21"/>
                <w:szCs w:val="21"/>
              </w:rPr>
            </w:pPr>
            <w:r>
              <w:rPr>
                <w:rFonts w:ascii="Calibri" w:eastAsia="Calibri" w:hAnsi="Calibri" w:cs="Calibri"/>
                <w:sz w:val="21"/>
                <w:szCs w:val="21"/>
              </w:rPr>
              <w:t>-Kaçakçılık suçunun konusunu oluşturan eşyanın akaryakıt olması halinde, verilecek ceza yarısından iki katına kadar artırılır ve bu halde verilecek ceza üç yıldan az olamaz.</w:t>
            </w:r>
          </w:p>
          <w:p w14:paraId="1CB146A9" w14:textId="77777777" w:rsidR="002373F8" w:rsidRDefault="002373F8" w:rsidP="000B079B">
            <w:pPr>
              <w:pStyle w:val="NormalWeb"/>
              <w:jc w:val="both"/>
              <w:rPr>
                <w:rFonts w:ascii="Calibri" w:eastAsia="Calibri" w:hAnsi="Calibri" w:cs="Calibri"/>
                <w:sz w:val="21"/>
                <w:szCs w:val="21"/>
              </w:rPr>
            </w:pPr>
            <w:r>
              <w:rPr>
                <w:rFonts w:ascii="Calibri" w:eastAsia="Calibri" w:hAnsi="Calibri" w:cs="Calibri"/>
                <w:sz w:val="21"/>
                <w:szCs w:val="21"/>
              </w:rPr>
              <w:t>- Suçun konusunu oluşturan eşyanın değerinin fahiş olması halinde, verilecek cezalar yarısından bir katına kadar artırılır. (Kanun maalesef fahiş miktarın ne olduğunu tanımlamamıştır.)</w:t>
            </w:r>
          </w:p>
        </w:tc>
      </w:tr>
    </w:tbl>
    <w:p w14:paraId="3EFCBDF8" w14:textId="77777777" w:rsidR="002373F8" w:rsidRDefault="002373F8" w:rsidP="002373F8">
      <w:pPr>
        <w:spacing w:line="200" w:lineRule="exact"/>
        <w:rPr>
          <w:sz w:val="24"/>
          <w:szCs w:val="24"/>
        </w:rPr>
      </w:pPr>
    </w:p>
    <w:p w14:paraId="293B1C82" w14:textId="62CEA970" w:rsidR="002373F8" w:rsidRDefault="002373F8" w:rsidP="000D330A">
      <w:pPr>
        <w:pStyle w:val="NormalWeb"/>
        <w:jc w:val="both"/>
        <w:rPr>
          <w:rFonts w:ascii="Calibri" w:eastAsia="Calibri" w:hAnsi="Calibri" w:cs="Calibri"/>
          <w:sz w:val="21"/>
          <w:szCs w:val="21"/>
        </w:rPr>
      </w:pPr>
      <w:r w:rsidRPr="000D330A">
        <w:rPr>
          <w:rFonts w:ascii="Calibri" w:eastAsia="Calibri" w:hAnsi="Calibri" w:cs="Calibri"/>
          <w:sz w:val="21"/>
          <w:szCs w:val="21"/>
        </w:rPr>
        <w:t xml:space="preserve">Sanık hakkında hükmolunan cezanın 2 yıldan </w:t>
      </w:r>
      <w:r w:rsidR="000D330A" w:rsidRPr="000D330A">
        <w:rPr>
          <w:rFonts w:ascii="Calibri" w:eastAsia="Calibri" w:hAnsi="Calibri" w:cs="Calibri"/>
          <w:sz w:val="21"/>
          <w:szCs w:val="21"/>
        </w:rPr>
        <w:t>az olması ve sanığın daha önce başka bir</w:t>
      </w:r>
      <w:r w:rsidR="000D330A">
        <w:rPr>
          <w:rFonts w:ascii="Calibri" w:eastAsia="Calibri" w:hAnsi="Calibri" w:cs="Calibri"/>
          <w:sz w:val="21"/>
          <w:szCs w:val="21"/>
        </w:rPr>
        <w:t xml:space="preserve"> kasıtlı</w:t>
      </w:r>
      <w:r w:rsidR="000D330A" w:rsidRPr="000D330A">
        <w:rPr>
          <w:rFonts w:ascii="Calibri" w:eastAsia="Calibri" w:hAnsi="Calibri" w:cs="Calibri"/>
          <w:sz w:val="21"/>
          <w:szCs w:val="21"/>
        </w:rPr>
        <w:t xml:space="preserve"> suçtan </w:t>
      </w:r>
      <w:proofErr w:type="gramStart"/>
      <w:r w:rsidR="000D330A">
        <w:rPr>
          <w:rFonts w:ascii="Calibri" w:eastAsia="Calibri" w:hAnsi="Calibri" w:cs="Calibri"/>
          <w:sz w:val="21"/>
          <w:szCs w:val="21"/>
        </w:rPr>
        <w:t>mahkum</w:t>
      </w:r>
      <w:proofErr w:type="gramEnd"/>
      <w:r w:rsidR="000D330A">
        <w:rPr>
          <w:rFonts w:ascii="Calibri" w:eastAsia="Calibri" w:hAnsi="Calibri" w:cs="Calibri"/>
          <w:sz w:val="21"/>
          <w:szCs w:val="21"/>
        </w:rPr>
        <w:t xml:space="preserve"> olmaması</w:t>
      </w:r>
      <w:r w:rsidR="000D330A" w:rsidRPr="000D330A">
        <w:rPr>
          <w:rFonts w:ascii="Calibri" w:eastAsia="Calibri" w:hAnsi="Calibri" w:cs="Calibri"/>
          <w:sz w:val="21"/>
          <w:szCs w:val="21"/>
        </w:rPr>
        <w:t xml:space="preserve"> halinde, sanığın talebi üzerine hükmün açıklanmasının geriye bırakılması kurumu uygulanabilir. Hükmün açıklanmasının geriye bırakılması halinde sanık 5 yıl süreyle denetime tabi tutulur. Sanık denetim süresi içinde bir suç işlemez ve yargı</w:t>
      </w:r>
      <w:r w:rsidR="000D330A">
        <w:rPr>
          <w:rFonts w:ascii="Calibri" w:eastAsia="Calibri" w:hAnsi="Calibri" w:cs="Calibri"/>
          <w:sz w:val="21"/>
          <w:szCs w:val="21"/>
        </w:rPr>
        <w:t>cın</w:t>
      </w:r>
      <w:r w:rsidR="000D330A" w:rsidRPr="000D330A">
        <w:rPr>
          <w:rFonts w:ascii="Calibri" w:eastAsia="Calibri" w:hAnsi="Calibri" w:cs="Calibri"/>
          <w:sz w:val="21"/>
          <w:szCs w:val="21"/>
        </w:rPr>
        <w:t xml:space="preserve"> belirlediği diğer yükümlülüklere uygun hareket ederse açıklanması geri bırakılan hüküm ortadan kaldırılarak davanın düşmesine karar verilir. </w:t>
      </w:r>
      <w:r w:rsidR="000D330A">
        <w:rPr>
          <w:rFonts w:ascii="Calibri" w:eastAsia="Calibri" w:hAnsi="Calibri" w:cs="Calibri"/>
          <w:sz w:val="21"/>
          <w:szCs w:val="21"/>
        </w:rPr>
        <w:t xml:space="preserve"> Fakat, yukarıda belirtilen suçun ağırlaştırıcı halleri sebebiyle, yargıcın kendi takdiri uyarınca uygulanacak 1/6 indirim hali </w:t>
      </w:r>
      <w:proofErr w:type="gramStart"/>
      <w:r w:rsidR="000D330A">
        <w:rPr>
          <w:rFonts w:ascii="Calibri" w:eastAsia="Calibri" w:hAnsi="Calibri" w:cs="Calibri"/>
          <w:sz w:val="21"/>
          <w:szCs w:val="21"/>
        </w:rPr>
        <w:t>bile  sanığın</w:t>
      </w:r>
      <w:proofErr w:type="gramEnd"/>
      <w:r w:rsidR="000D330A">
        <w:rPr>
          <w:rFonts w:ascii="Calibri" w:eastAsia="Calibri" w:hAnsi="Calibri" w:cs="Calibri"/>
          <w:sz w:val="21"/>
          <w:szCs w:val="21"/>
        </w:rPr>
        <w:t xml:space="preserve"> hükmün açıklanmasının geriye bırakılması kurumundan faydalanmasına olanak vermektedir. Şöyle ki, yukarıda da belirtildiği üzere suçun alt ceza limiti 3 yıldır. </w:t>
      </w:r>
    </w:p>
    <w:p w14:paraId="2D4714B7" w14:textId="61F2041E" w:rsidR="000D330A" w:rsidRPr="000D330A" w:rsidRDefault="000D330A" w:rsidP="000D330A">
      <w:pPr>
        <w:pStyle w:val="NormalWeb"/>
        <w:jc w:val="both"/>
        <w:rPr>
          <w:rFonts w:ascii="Calibri" w:eastAsia="Calibri" w:hAnsi="Calibri" w:cs="Calibri"/>
          <w:sz w:val="21"/>
          <w:szCs w:val="21"/>
        </w:rPr>
      </w:pPr>
      <w:r>
        <w:rPr>
          <w:rFonts w:ascii="Calibri" w:eastAsia="Calibri" w:hAnsi="Calibri" w:cs="Calibri"/>
          <w:sz w:val="21"/>
          <w:szCs w:val="21"/>
        </w:rPr>
        <w:t xml:space="preserve">Diğer taraftan, </w:t>
      </w:r>
      <w:r w:rsidR="0044221E">
        <w:rPr>
          <w:rFonts w:ascii="Calibri" w:eastAsia="Calibri" w:hAnsi="Calibri" w:cs="Calibri"/>
          <w:sz w:val="21"/>
          <w:szCs w:val="21"/>
        </w:rPr>
        <w:t>Kanunun 9. Maddesinin 2. Fıkrası uyarınca kaçak eşyaya derhal el konulacağı düzenlenmiştir. Bir başka anlatımla, geminin kalkış seferinden önce, beyan edilen yakıttan fazla olarak tespit edilen miktardaki yakıt gemiden tahliye edilecektir.</w:t>
      </w:r>
    </w:p>
    <w:p w14:paraId="0111E657" w14:textId="77777777" w:rsidR="0044221E" w:rsidRDefault="0044221E" w:rsidP="002373F8">
      <w:pPr>
        <w:pStyle w:val="NormalWeb"/>
        <w:rPr>
          <w:rFonts w:ascii="Calibri" w:hAnsi="Calibri"/>
          <w:sz w:val="22"/>
          <w:szCs w:val="22"/>
        </w:rPr>
      </w:pPr>
    </w:p>
    <w:p w14:paraId="6F6CBE1E" w14:textId="3B7016DA" w:rsidR="0044221E" w:rsidRDefault="0044221E" w:rsidP="0044221E">
      <w:pPr>
        <w:pStyle w:val="NormalWeb"/>
        <w:jc w:val="both"/>
        <w:rPr>
          <w:rFonts w:ascii="Calibri" w:hAnsi="Calibri"/>
          <w:sz w:val="22"/>
          <w:szCs w:val="22"/>
        </w:rPr>
      </w:pPr>
      <w:r>
        <w:rPr>
          <w:rFonts w:ascii="Calibri" w:hAnsi="Calibri"/>
          <w:sz w:val="22"/>
          <w:szCs w:val="22"/>
        </w:rPr>
        <w:lastRenderedPageBreak/>
        <w:t xml:space="preserve">Yukarıdaki Kanunun gemi üzerinde tutuklamaya yol açmayacağını belirtmek isteriz. Yine </w:t>
      </w:r>
      <w:proofErr w:type="gramStart"/>
      <w:r>
        <w:rPr>
          <w:rFonts w:ascii="Calibri" w:hAnsi="Calibri"/>
          <w:sz w:val="22"/>
          <w:szCs w:val="22"/>
        </w:rPr>
        <w:t>de,</w:t>
      </w:r>
      <w:proofErr w:type="gramEnd"/>
      <w:r>
        <w:rPr>
          <w:rFonts w:ascii="Calibri" w:hAnsi="Calibri"/>
          <w:sz w:val="22"/>
          <w:szCs w:val="22"/>
        </w:rPr>
        <w:t xml:space="preserve"> Kaptan/Baş Mühendise karşı başlatılacak cezai soruşturma kapsamında, yargıç tarafından bu kişilere karşı tutuklama kararı verilebilir ve bu halde gemi bir sonraki Türkiye uğrağında sorunlar ile karşılaşabilir.</w:t>
      </w:r>
    </w:p>
    <w:p w14:paraId="64048F56" w14:textId="15297818" w:rsidR="008B2776" w:rsidRDefault="008B2776" w:rsidP="0044221E">
      <w:pPr>
        <w:pStyle w:val="NormalWeb"/>
        <w:jc w:val="both"/>
        <w:rPr>
          <w:rFonts w:ascii="Calibri" w:hAnsi="Calibri"/>
          <w:sz w:val="22"/>
          <w:szCs w:val="22"/>
        </w:rPr>
      </w:pPr>
      <w:r>
        <w:rPr>
          <w:rFonts w:ascii="Calibri" w:hAnsi="Calibri"/>
          <w:sz w:val="22"/>
          <w:szCs w:val="22"/>
        </w:rPr>
        <w:t>Tüm bu yukarıdakiler uyarınca, beyan uyuşmazlığı ve cezaların önlenmesi amacıyla, gemide bulunan yakıt miktarlarının mürettebat tarafından dikkatlice ölçülmesi ve otoritelere verilecek varış evrakı beyanında azami özenin gösterilmesini tavsiye ederiz.</w:t>
      </w:r>
    </w:p>
    <w:p w14:paraId="5C13A630" w14:textId="0499AB4B" w:rsidR="002373F8" w:rsidRDefault="008B2776" w:rsidP="00E427B5">
      <w:pPr>
        <w:pStyle w:val="NormalWeb"/>
        <w:jc w:val="both"/>
        <w:rPr>
          <w:rFonts w:ascii="Calibri" w:hAnsi="Calibri"/>
          <w:sz w:val="22"/>
          <w:szCs w:val="22"/>
        </w:rPr>
      </w:pPr>
      <w:r>
        <w:rPr>
          <w:rFonts w:ascii="Calibri" w:hAnsi="Calibri"/>
          <w:sz w:val="22"/>
          <w:szCs w:val="22"/>
        </w:rPr>
        <w:t xml:space="preserve">Dahası, doğru ölçüm yapmak amacı ile yakıt alımı ve </w:t>
      </w:r>
      <w:r w:rsidR="00E427B5">
        <w:rPr>
          <w:rFonts w:ascii="Calibri" w:hAnsi="Calibri"/>
          <w:sz w:val="22"/>
          <w:szCs w:val="22"/>
        </w:rPr>
        <w:t xml:space="preserve">geminin teslimi sırasında </w:t>
      </w:r>
      <w:proofErr w:type="spellStart"/>
      <w:r w:rsidR="00E427B5">
        <w:rPr>
          <w:rFonts w:ascii="Calibri" w:hAnsi="Calibri"/>
          <w:sz w:val="22"/>
          <w:szCs w:val="22"/>
        </w:rPr>
        <w:t>sörvey</w:t>
      </w:r>
      <w:proofErr w:type="spellEnd"/>
      <w:r w:rsidR="00E427B5">
        <w:rPr>
          <w:rFonts w:ascii="Calibri" w:hAnsi="Calibri"/>
          <w:sz w:val="22"/>
          <w:szCs w:val="22"/>
        </w:rPr>
        <w:t xml:space="preserve"> atanmasını tavsiye ederiz.</w:t>
      </w:r>
      <w:r>
        <w:rPr>
          <w:rFonts w:ascii="Calibri" w:hAnsi="Calibri"/>
          <w:sz w:val="22"/>
          <w:szCs w:val="22"/>
        </w:rPr>
        <w:t xml:space="preserve"> </w:t>
      </w:r>
    </w:p>
    <w:p w14:paraId="164D1186" w14:textId="68307992" w:rsidR="00E427B5" w:rsidRPr="00E427B5" w:rsidRDefault="001B461D" w:rsidP="00E427B5">
      <w:pPr>
        <w:pStyle w:val="NormalWeb"/>
        <w:jc w:val="both"/>
        <w:rPr>
          <w:rFonts w:ascii="Calibri" w:hAnsi="Calibri"/>
          <w:sz w:val="22"/>
          <w:szCs w:val="22"/>
        </w:rPr>
      </w:pPr>
      <w:r>
        <w:rPr>
          <w:rFonts w:ascii="Calibri" w:hAnsi="Calibri"/>
          <w:sz w:val="22"/>
          <w:szCs w:val="22"/>
        </w:rPr>
        <w:t>Her zaman hizmetinizde olduğumuzu</w:t>
      </w:r>
      <w:r w:rsidR="00E427B5">
        <w:rPr>
          <w:rFonts w:ascii="Calibri" w:hAnsi="Calibri"/>
          <w:sz w:val="22"/>
          <w:szCs w:val="22"/>
        </w:rPr>
        <w:t xml:space="preserve"> belirtir ve </w:t>
      </w:r>
      <w:r>
        <w:rPr>
          <w:rFonts w:ascii="Calibri" w:hAnsi="Calibri"/>
          <w:sz w:val="22"/>
          <w:szCs w:val="22"/>
        </w:rPr>
        <w:t xml:space="preserve">sorunuz olması halinde </w:t>
      </w:r>
      <w:r w:rsidR="00E427B5">
        <w:rPr>
          <w:rFonts w:ascii="Calibri" w:hAnsi="Calibri"/>
          <w:sz w:val="22"/>
          <w:szCs w:val="22"/>
        </w:rPr>
        <w:t>bizim ile iletişime geçmenizi rica ederiz.</w:t>
      </w:r>
    </w:p>
    <w:p w14:paraId="542A6180" w14:textId="77777777" w:rsidR="00393199" w:rsidRDefault="001B461D"/>
    <w:sectPr w:rsidR="00393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871B7"/>
    <w:multiLevelType w:val="multilevel"/>
    <w:tmpl w:val="88A6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F8"/>
    <w:rsid w:val="000D330A"/>
    <w:rsid w:val="001B461D"/>
    <w:rsid w:val="002373F8"/>
    <w:rsid w:val="0044221E"/>
    <w:rsid w:val="008B2776"/>
    <w:rsid w:val="0094486F"/>
    <w:rsid w:val="009D7D68"/>
    <w:rsid w:val="00E427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6B8A1C1"/>
  <w15:chartTrackingRefBased/>
  <w15:docId w15:val="{89D33259-BD3F-F74F-9584-7B6BDBB3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F8"/>
    <w:rPr>
      <w:rFonts w:ascii="Times New Roman" w:eastAsiaTheme="minorEastAsia" w:hAnsi="Times New Roman" w:cs="Times New Roman"/>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373F8"/>
    <w:pPr>
      <w:spacing w:before="100" w:beforeAutospacing="1" w:after="100" w:afterAutospacing="1"/>
    </w:pPr>
    <w:rPr>
      <w:rFonts w:eastAsia="Times New Roman"/>
      <w:sz w:val="24"/>
      <w:szCs w:val="24"/>
    </w:rPr>
  </w:style>
  <w:style w:type="table" w:styleId="TabloKlavuzu">
    <w:name w:val="Table Grid"/>
    <w:basedOn w:val="NormalTablo"/>
    <w:uiPriority w:val="59"/>
    <w:unhideWhenUsed/>
    <w:rsid w:val="002373F8"/>
    <w:rPr>
      <w:rFonts w:ascii="Times New Roman" w:eastAsiaTheme="minorEastAsia" w:hAnsi="Times New Roman" w:cs="Times New Roman"/>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17988">
      <w:bodyDiv w:val="1"/>
      <w:marLeft w:val="0"/>
      <w:marRight w:val="0"/>
      <w:marTop w:val="0"/>
      <w:marBottom w:val="0"/>
      <w:divBdr>
        <w:top w:val="none" w:sz="0" w:space="0" w:color="auto"/>
        <w:left w:val="none" w:sz="0" w:space="0" w:color="auto"/>
        <w:bottom w:val="none" w:sz="0" w:space="0" w:color="auto"/>
        <w:right w:val="none" w:sz="0" w:space="0" w:color="auto"/>
      </w:divBdr>
      <w:divsChild>
        <w:div w:id="678124441">
          <w:marLeft w:val="0"/>
          <w:marRight w:val="0"/>
          <w:marTop w:val="0"/>
          <w:marBottom w:val="0"/>
          <w:divBdr>
            <w:top w:val="none" w:sz="0" w:space="0" w:color="auto"/>
            <w:left w:val="none" w:sz="0" w:space="0" w:color="auto"/>
            <w:bottom w:val="none" w:sz="0" w:space="0" w:color="auto"/>
            <w:right w:val="none" w:sz="0" w:space="0" w:color="auto"/>
          </w:divBdr>
          <w:divsChild>
            <w:div w:id="1536229847">
              <w:marLeft w:val="0"/>
              <w:marRight w:val="0"/>
              <w:marTop w:val="0"/>
              <w:marBottom w:val="0"/>
              <w:divBdr>
                <w:top w:val="none" w:sz="0" w:space="0" w:color="auto"/>
                <w:left w:val="none" w:sz="0" w:space="0" w:color="auto"/>
                <w:bottom w:val="none" w:sz="0" w:space="0" w:color="auto"/>
                <w:right w:val="none" w:sz="0" w:space="0" w:color="auto"/>
              </w:divBdr>
              <w:divsChild>
                <w:div w:id="1828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077">
      <w:bodyDiv w:val="1"/>
      <w:marLeft w:val="0"/>
      <w:marRight w:val="0"/>
      <w:marTop w:val="0"/>
      <w:marBottom w:val="0"/>
      <w:divBdr>
        <w:top w:val="none" w:sz="0" w:space="0" w:color="auto"/>
        <w:left w:val="none" w:sz="0" w:space="0" w:color="auto"/>
        <w:bottom w:val="none" w:sz="0" w:space="0" w:color="auto"/>
        <w:right w:val="none" w:sz="0" w:space="0" w:color="auto"/>
      </w:divBdr>
    </w:div>
    <w:div w:id="1792895854">
      <w:bodyDiv w:val="1"/>
      <w:marLeft w:val="0"/>
      <w:marRight w:val="0"/>
      <w:marTop w:val="0"/>
      <w:marBottom w:val="0"/>
      <w:divBdr>
        <w:top w:val="none" w:sz="0" w:space="0" w:color="auto"/>
        <w:left w:val="none" w:sz="0" w:space="0" w:color="auto"/>
        <w:bottom w:val="none" w:sz="0" w:space="0" w:color="auto"/>
        <w:right w:val="none" w:sz="0" w:space="0" w:color="auto"/>
      </w:divBdr>
      <w:divsChild>
        <w:div w:id="2023969790">
          <w:marLeft w:val="0"/>
          <w:marRight w:val="0"/>
          <w:marTop w:val="0"/>
          <w:marBottom w:val="0"/>
          <w:divBdr>
            <w:top w:val="none" w:sz="0" w:space="0" w:color="auto"/>
            <w:left w:val="none" w:sz="0" w:space="0" w:color="auto"/>
            <w:bottom w:val="none" w:sz="0" w:space="0" w:color="auto"/>
            <w:right w:val="none" w:sz="0" w:space="0" w:color="auto"/>
          </w:divBdr>
          <w:divsChild>
            <w:div w:id="1814978206">
              <w:marLeft w:val="0"/>
              <w:marRight w:val="0"/>
              <w:marTop w:val="0"/>
              <w:marBottom w:val="0"/>
              <w:divBdr>
                <w:top w:val="none" w:sz="0" w:space="0" w:color="auto"/>
                <w:left w:val="none" w:sz="0" w:space="0" w:color="auto"/>
                <w:bottom w:val="none" w:sz="0" w:space="0" w:color="auto"/>
                <w:right w:val="none" w:sz="0" w:space="0" w:color="auto"/>
              </w:divBdr>
              <w:divsChild>
                <w:div w:id="5758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572</Words>
  <Characters>3264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KUBİLAY DELEN</dc:creator>
  <cp:keywords/>
  <dc:description/>
  <cp:lastModifiedBy>KUBİLAY DELEN</cp:lastModifiedBy>
  <cp:revision>2</cp:revision>
  <dcterms:created xsi:type="dcterms:W3CDTF">2021-01-23T14:50:00Z</dcterms:created>
  <dcterms:modified xsi:type="dcterms:W3CDTF">2021-01-23T17:06:00Z</dcterms:modified>
</cp:coreProperties>
</file>